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DEA" w:rsidRPr="00023006" w:rsidRDefault="00D21DEA" w:rsidP="00D21DEA">
      <w:pPr>
        <w:rPr>
          <w:b/>
          <w:caps/>
          <w:sz w:val="22"/>
          <w:szCs w:val="22"/>
        </w:rPr>
      </w:pPr>
      <w:r w:rsidRPr="00023006">
        <w:rPr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None/>
            <wp:docPr id="2" name="Obrázok 3" descr="SGS_ISO 9001_TCL_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SGS_ISO 9001_TCL_L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06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901700" cy="1714500"/>
            <wp:effectExtent l="19050" t="0" r="0" b="0"/>
            <wp:wrapSquare wrapText="right"/>
            <wp:docPr id="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23006">
        <w:rPr>
          <w:b/>
          <w:caps/>
          <w:sz w:val="22"/>
          <w:szCs w:val="22"/>
        </w:rPr>
        <w:t xml:space="preserve">Úrad verejného zdravotníctva </w:t>
      </w:r>
    </w:p>
    <w:p w:rsidR="00D21DEA" w:rsidRPr="00023006" w:rsidRDefault="00D21DEA" w:rsidP="00D21DEA">
      <w:pPr>
        <w:rPr>
          <w:b/>
          <w:caps/>
          <w:sz w:val="22"/>
          <w:szCs w:val="22"/>
        </w:rPr>
      </w:pPr>
      <w:r w:rsidRPr="00023006">
        <w:rPr>
          <w:b/>
          <w:caps/>
          <w:sz w:val="22"/>
          <w:szCs w:val="22"/>
        </w:rPr>
        <w:t>Slovenskej republiky</w:t>
      </w:r>
    </w:p>
    <w:p w:rsidR="00D21DEA" w:rsidRPr="00023006" w:rsidRDefault="00D21DEA" w:rsidP="00D21DEA">
      <w:pPr>
        <w:rPr>
          <w:b/>
          <w:sz w:val="22"/>
          <w:szCs w:val="22"/>
        </w:rPr>
      </w:pPr>
    </w:p>
    <w:p w:rsidR="00D21DEA" w:rsidRPr="00023006" w:rsidRDefault="00D21DEA" w:rsidP="00D21DEA">
      <w:pPr>
        <w:rPr>
          <w:b/>
          <w:sz w:val="22"/>
          <w:szCs w:val="22"/>
        </w:rPr>
      </w:pPr>
      <w:r w:rsidRPr="00023006">
        <w:rPr>
          <w:b/>
          <w:sz w:val="22"/>
          <w:szCs w:val="22"/>
        </w:rPr>
        <w:t>Trnavská cesta 52</w:t>
      </w:r>
    </w:p>
    <w:p w:rsidR="00D21DEA" w:rsidRPr="00023006" w:rsidRDefault="00D21DEA" w:rsidP="00D21DEA">
      <w:pPr>
        <w:rPr>
          <w:b/>
          <w:sz w:val="22"/>
          <w:szCs w:val="22"/>
        </w:rPr>
      </w:pPr>
      <w:r w:rsidRPr="00023006">
        <w:rPr>
          <w:b/>
          <w:sz w:val="22"/>
          <w:szCs w:val="22"/>
        </w:rPr>
        <w:t>P.O.BOX 45</w:t>
      </w:r>
    </w:p>
    <w:p w:rsidR="00D21DEA" w:rsidRPr="00023006" w:rsidRDefault="00D21DEA" w:rsidP="00D21DEA">
      <w:pPr>
        <w:rPr>
          <w:b/>
          <w:sz w:val="22"/>
          <w:szCs w:val="22"/>
        </w:rPr>
      </w:pPr>
      <w:r w:rsidRPr="00023006">
        <w:rPr>
          <w:b/>
          <w:sz w:val="22"/>
          <w:szCs w:val="22"/>
        </w:rPr>
        <w:t>826 45 Bratislava</w:t>
      </w:r>
    </w:p>
    <w:p w:rsidR="00D21DEA" w:rsidRPr="00023006" w:rsidRDefault="00D21DEA" w:rsidP="00D21DEA">
      <w:pPr>
        <w:rPr>
          <w:sz w:val="22"/>
          <w:szCs w:val="22"/>
        </w:rPr>
      </w:pPr>
    </w:p>
    <w:p w:rsidR="0093288A" w:rsidRPr="00023006" w:rsidRDefault="0093288A" w:rsidP="00D21DEA">
      <w:pPr>
        <w:rPr>
          <w:sz w:val="22"/>
          <w:szCs w:val="22"/>
        </w:rPr>
      </w:pPr>
    </w:p>
    <w:p w:rsidR="00300760" w:rsidRPr="00023006" w:rsidRDefault="00300760" w:rsidP="00D21DEA">
      <w:pPr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rPr>
          <w:rFonts w:eastAsia="Calibri"/>
          <w:b/>
        </w:rPr>
      </w:pPr>
      <w:r w:rsidRPr="00023006">
        <w:rPr>
          <w:rFonts w:eastAsia="Calibri"/>
          <w:b/>
        </w:rPr>
        <w:t>ÚVZ SR: Sezóna pieskovísk je tu. Na čo všetko treba myslieť pri hre detí na pieskovisku</w:t>
      </w:r>
    </w:p>
    <w:p w:rsidR="00023006" w:rsidRDefault="00023006" w:rsidP="00023006">
      <w:pPr>
        <w:rPr>
          <w:b/>
          <w:sz w:val="22"/>
          <w:szCs w:val="22"/>
        </w:rPr>
      </w:pPr>
    </w:p>
    <w:p w:rsid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Prevádzkovatelia zariadení pre deti a mládež aj obce majú povinnosť</w:t>
      </w:r>
      <w:r w:rsidR="00AD60B0">
        <w:rPr>
          <w:rFonts w:eastAsia="Calibri"/>
          <w:b/>
          <w:sz w:val="22"/>
          <w:szCs w:val="22"/>
        </w:rPr>
        <w:t xml:space="preserve"> pieskoviská pravidelne čistiť </w:t>
      </w:r>
      <w:r w:rsidRPr="00023006">
        <w:rPr>
          <w:rFonts w:eastAsia="Calibri"/>
          <w:b/>
          <w:sz w:val="22"/>
          <w:szCs w:val="22"/>
        </w:rPr>
        <w:t xml:space="preserve">a udržiavať tak, aby sa na nich deti mohli </w:t>
      </w:r>
      <w:r>
        <w:rPr>
          <w:rFonts w:eastAsia="Calibri"/>
          <w:b/>
          <w:sz w:val="22"/>
          <w:szCs w:val="22"/>
        </w:rPr>
        <w:t xml:space="preserve">počas celej </w:t>
      </w:r>
      <w:r w:rsidRPr="00023006">
        <w:rPr>
          <w:rFonts w:eastAsia="Calibri"/>
          <w:b/>
          <w:sz w:val="22"/>
          <w:szCs w:val="22"/>
        </w:rPr>
        <w:t>sezóny bezpečne hrať. Stav pieskoviska pred vstupom dieťaťa by si mali vizuálne kontrolovať aj rodičia, pomôžu tak minimalizovať možné riziko ochorenia či poranenia dieťaťa.</w:t>
      </w:r>
    </w:p>
    <w:p w:rsidR="00023006" w:rsidRPr="00023006" w:rsidRDefault="00023006" w:rsidP="00023006">
      <w:pPr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 xml:space="preserve"> </w:t>
      </w:r>
    </w:p>
    <w:p w:rsidR="00023006" w:rsidRPr="00023006" w:rsidRDefault="00023006" w:rsidP="00023006">
      <w:p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Orgány verejného zdravotníctva vykonávajú štátny zdravotný dozor na úseku pieskovísk v zmysle zákona </w:t>
      </w:r>
      <w:r w:rsidRPr="00023006">
        <w:rPr>
          <w:sz w:val="22"/>
          <w:szCs w:val="22"/>
        </w:rPr>
        <w:t xml:space="preserve">č. 355/2007 Z. z. o ochrane, podpore a rozvoji verejného zdravia a o zmene a doplnení niektorých zákonov v znení neskorších predpisov a jeho vykonávacieho  predpisu – vyhlášky MZ SR č. 521/2007 Z. z. o podrobnostiach o požiadavkách na pieskoviská. </w:t>
      </w:r>
    </w:p>
    <w:p w:rsidR="00023006" w:rsidRDefault="00023006" w:rsidP="00023006">
      <w:pPr>
        <w:jc w:val="both"/>
        <w:rPr>
          <w:sz w:val="22"/>
          <w:szCs w:val="22"/>
        </w:rPr>
      </w:pPr>
      <w:r w:rsidRPr="00E54A22">
        <w:rPr>
          <w:b/>
          <w:i/>
          <w:sz w:val="22"/>
          <w:szCs w:val="22"/>
        </w:rPr>
        <w:t>,,Podľa tohto zákona majú fyzické osoby – podnikatelia a právnické osoby, ktoré prevádzkujú zariadenie pre deti a mládež povinnosť zabezpečiť pravidelné čistenie a udržiavanie vonkajších i vnútorných priestorov zariadenia pre deti a mládež tak, aby nepredstavovali riziko v dôsledku mikrobiálneho a iného znečistenia,“</w:t>
      </w:r>
      <w:r w:rsidRPr="00023006">
        <w:rPr>
          <w:sz w:val="22"/>
          <w:szCs w:val="22"/>
        </w:rPr>
        <w:t xml:space="preserve"> hovorí docentka MUDr. Jana Hamade,  PhD., vedúca Sekcie ochrany a podpory zdravia a špecializovaných činností Úradu verejného zdravotníctva Slovenskej republiky. </w:t>
      </w:r>
    </w:p>
    <w:p w:rsidR="00E54A22" w:rsidRPr="00023006" w:rsidRDefault="00E54A22" w:rsidP="00023006">
      <w:pPr>
        <w:jc w:val="both"/>
        <w:rPr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sz w:val="22"/>
          <w:szCs w:val="22"/>
        </w:rPr>
      </w:pPr>
      <w:r w:rsidRPr="00023006">
        <w:rPr>
          <w:sz w:val="22"/>
          <w:szCs w:val="22"/>
        </w:rPr>
        <w:t xml:space="preserve">Prevádzkovatelia musia počas sezóny pieskovisko čistiť, prekopávať, prehrabávať a polievať pitnou vodou, alebo vodou zodpovedajúcou požiadavkám na kvalitu vody najmenej raz za dva týždne. </w:t>
      </w:r>
      <w:r w:rsidR="00AD60B0">
        <w:rPr>
          <w:sz w:val="22"/>
          <w:szCs w:val="22"/>
        </w:rPr>
        <w:t xml:space="preserve">                    </w:t>
      </w:r>
      <w:r w:rsidR="009926A7">
        <w:rPr>
          <w:sz w:val="22"/>
          <w:szCs w:val="22"/>
        </w:rPr>
        <w:t xml:space="preserve">O </w:t>
      </w:r>
      <w:r w:rsidRPr="00023006">
        <w:rPr>
          <w:sz w:val="22"/>
          <w:szCs w:val="22"/>
        </w:rPr>
        <w:t>čistení a udržiavaní pieskoviska musia viesť záznamy</w:t>
      </w:r>
      <w:r w:rsidR="009926A7">
        <w:rPr>
          <w:sz w:val="22"/>
          <w:szCs w:val="22"/>
        </w:rPr>
        <w:t xml:space="preserve">. </w:t>
      </w:r>
      <w:r w:rsidRPr="00023006">
        <w:rPr>
          <w:sz w:val="22"/>
          <w:szCs w:val="22"/>
        </w:rPr>
        <w:t>Sezóna pieskovísk trvá od 1. marca do 30. novembra</w:t>
      </w:r>
      <w:r w:rsidRPr="00E54A22">
        <w:rPr>
          <w:b/>
          <w:i/>
          <w:sz w:val="22"/>
          <w:szCs w:val="22"/>
        </w:rPr>
        <w:t>. ,,</w:t>
      </w:r>
      <w:r w:rsidRPr="00E54A22">
        <w:rPr>
          <w:rFonts w:eastAsia="Calibri"/>
          <w:b/>
          <w:i/>
          <w:sz w:val="22"/>
          <w:szCs w:val="22"/>
        </w:rPr>
        <w:t>Každý regionálny úrad verejného zdravotníctva v Slovenskej republike  má vypracovaný vlastný plán kontrol. V prípade, že ide o cielený dozor, vykoná sa v určitom časovom období, napríklad počas dvoch týždňov, jednotne</w:t>
      </w:r>
      <w:r w:rsidRPr="00E54A22">
        <w:rPr>
          <w:rFonts w:eastAsia="Calibri"/>
          <w:b/>
          <w:i/>
          <w:color w:val="00B050"/>
          <w:sz w:val="22"/>
          <w:szCs w:val="22"/>
        </w:rPr>
        <w:t xml:space="preserve"> </w:t>
      </w:r>
      <w:r w:rsidRPr="00E54A22">
        <w:rPr>
          <w:rFonts w:eastAsia="Calibri"/>
          <w:b/>
          <w:i/>
          <w:sz w:val="22"/>
          <w:szCs w:val="22"/>
        </w:rPr>
        <w:t xml:space="preserve">kontrola na všetkých pieskoviskách buď pri materských školách, alebo na pieskoviskách v rámci občianskej vybavenosti. </w:t>
      </w:r>
      <w:r w:rsidRPr="00E54A22">
        <w:rPr>
          <w:b/>
          <w:i/>
          <w:sz w:val="22"/>
          <w:szCs w:val="22"/>
        </w:rPr>
        <w:t>Pracovníci odborov hygieny detí a mládeže preverujú celkový technický stav pieskovísk</w:t>
      </w:r>
      <w:r w:rsidR="009926A7">
        <w:rPr>
          <w:b/>
          <w:i/>
          <w:sz w:val="22"/>
          <w:szCs w:val="22"/>
        </w:rPr>
        <w:t xml:space="preserve">, </w:t>
      </w:r>
      <w:r w:rsidRPr="00E54A22">
        <w:rPr>
          <w:b/>
          <w:i/>
          <w:sz w:val="22"/>
          <w:szCs w:val="22"/>
        </w:rPr>
        <w:t>ich čistenie,  udržiavanie a odobraté vzorky piesku podrobujú mikrobiologickým a parazitologickým rozborom,“</w:t>
      </w:r>
      <w:r w:rsidRPr="00023006">
        <w:rPr>
          <w:sz w:val="22"/>
          <w:szCs w:val="22"/>
        </w:rPr>
        <w:t xml:space="preserve"> dodáva docentka Jana Hamade. </w:t>
      </w:r>
    </w:p>
    <w:p w:rsidR="00E54A22" w:rsidRDefault="00E54A22" w:rsidP="00023006">
      <w:pPr>
        <w:jc w:val="both"/>
        <w:rPr>
          <w:sz w:val="22"/>
          <w:szCs w:val="22"/>
        </w:rPr>
      </w:pPr>
    </w:p>
    <w:p w:rsidR="00023006" w:rsidRPr="00023006" w:rsidRDefault="00023006" w:rsidP="00023006">
      <w:pPr>
        <w:jc w:val="both"/>
        <w:rPr>
          <w:b/>
          <w:sz w:val="22"/>
          <w:szCs w:val="22"/>
        </w:rPr>
      </w:pPr>
      <w:r w:rsidRPr="00023006">
        <w:rPr>
          <w:sz w:val="22"/>
          <w:szCs w:val="22"/>
        </w:rPr>
        <w:t xml:space="preserve">Vo všeobecnosti je možné zdravotné riziká na pieskoviskách rozdeliť do dvoch skupín – na </w:t>
      </w:r>
      <w:r w:rsidRPr="00023006">
        <w:rPr>
          <w:rFonts w:eastAsia="Calibri"/>
          <w:sz w:val="22"/>
          <w:szCs w:val="22"/>
        </w:rPr>
        <w:t xml:space="preserve">mikrobiálne a na mechanické. </w:t>
      </w:r>
      <w:r w:rsidRPr="00E54A22">
        <w:rPr>
          <w:rFonts w:eastAsia="Calibri"/>
          <w:b/>
          <w:i/>
          <w:sz w:val="22"/>
          <w:szCs w:val="22"/>
        </w:rPr>
        <w:t>,,V rámci mikrobiálneho rizika sa deti pri nedosta</w:t>
      </w:r>
      <w:r w:rsidR="009926A7">
        <w:rPr>
          <w:rFonts w:eastAsia="Calibri"/>
          <w:b/>
          <w:i/>
          <w:sz w:val="22"/>
          <w:szCs w:val="22"/>
        </w:rPr>
        <w:t xml:space="preserve">točnej hygiene môžu nakaziť rôznymi bakteriálnymi, parazitárnymi a vírusovými </w:t>
      </w:r>
      <w:r w:rsidRPr="00E54A22">
        <w:rPr>
          <w:rFonts w:eastAsia="Calibri"/>
          <w:b/>
          <w:i/>
          <w:sz w:val="22"/>
          <w:szCs w:val="22"/>
        </w:rPr>
        <w:t>ochoreniami,“</w:t>
      </w:r>
      <w:r w:rsidR="009926A7">
        <w:rPr>
          <w:rFonts w:eastAsia="Calibri"/>
          <w:sz w:val="22"/>
          <w:szCs w:val="22"/>
        </w:rPr>
        <w:t xml:space="preserve"> </w:t>
      </w:r>
      <w:r w:rsidRPr="00023006">
        <w:rPr>
          <w:rFonts w:eastAsia="Calibri"/>
          <w:sz w:val="22"/>
          <w:szCs w:val="22"/>
        </w:rPr>
        <w:t xml:space="preserve">zdôrazňuje </w:t>
      </w:r>
      <w:r w:rsidR="009926A7">
        <w:rPr>
          <w:rFonts w:eastAsia="Calibri"/>
          <w:sz w:val="22"/>
          <w:szCs w:val="22"/>
        </w:rPr>
        <w:t xml:space="preserve">docentka Jana Hamade. </w:t>
      </w:r>
      <w:r w:rsidR="009926A7">
        <w:rPr>
          <w:sz w:val="22"/>
          <w:szCs w:val="22"/>
        </w:rPr>
        <w:t xml:space="preserve">Najčastejším zdrojom </w:t>
      </w:r>
      <w:r w:rsidRPr="00023006">
        <w:rPr>
          <w:sz w:val="22"/>
          <w:szCs w:val="22"/>
        </w:rPr>
        <w:t xml:space="preserve">parazitárnych infekcií sú exkrementy psov a mačiek. </w:t>
      </w:r>
    </w:p>
    <w:p w:rsidR="009926A7" w:rsidRDefault="009926A7" w:rsidP="00023006">
      <w:pPr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Ochorenia z pieskovísk</w:t>
      </w:r>
    </w:p>
    <w:p w:rsidR="00023006" w:rsidRPr="00023006" w:rsidRDefault="00023006" w:rsidP="00023006">
      <w:pPr>
        <w:ind w:firstLine="426"/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TOXOKARÓZA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parazitárne ochorenie, pôvodcom je škrkavka psia a mačacia, dieťa sa nakazí vajíčkami škrkaviek 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spôsobuje poškodenie vnútorných orgánov </w:t>
      </w:r>
    </w:p>
    <w:p w:rsidR="00023006" w:rsidRPr="00023006" w:rsidRDefault="00023006" w:rsidP="00023006">
      <w:pPr>
        <w:ind w:left="360"/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TOXOPLAZMÓZA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zdrojom nákazy je mačací trus, dieťa sa nakazí špinavými rukami prostredníctvom vajíčok 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prebieha zvyčajne bezpríznakovo, prejaví sa až v dospelosti, </w:t>
      </w:r>
    </w:p>
    <w:p w:rsidR="00023006" w:rsidRPr="00023006" w:rsidRDefault="00023006" w:rsidP="00023006">
      <w:pPr>
        <w:pStyle w:val="Odsekzoznamu"/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>u tehotných žien vyvoláva infekcia ťažké poškodenie plodu, resp. potrat</w:t>
      </w:r>
    </w:p>
    <w:p w:rsidR="009926A7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sz w:val="22"/>
          <w:szCs w:val="22"/>
        </w:rPr>
        <w:br/>
      </w: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lastRenderedPageBreak/>
        <w:t>GIARDIÓZA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pôvodcom nákazy je mačka, ochorenie vyvoláva prvok </w:t>
      </w:r>
      <w:proofErr w:type="spellStart"/>
      <w:r w:rsidRPr="00023006">
        <w:rPr>
          <w:rFonts w:eastAsia="Calibri"/>
          <w:sz w:val="22"/>
          <w:szCs w:val="22"/>
        </w:rPr>
        <w:t>Giardia</w:t>
      </w:r>
      <w:proofErr w:type="spellEnd"/>
      <w:r w:rsidRPr="00023006">
        <w:rPr>
          <w:rFonts w:eastAsia="Calibri"/>
          <w:sz w:val="22"/>
          <w:szCs w:val="22"/>
        </w:rPr>
        <w:t xml:space="preserve"> (</w:t>
      </w:r>
      <w:proofErr w:type="spellStart"/>
      <w:r w:rsidRPr="00023006">
        <w:rPr>
          <w:rFonts w:eastAsia="Calibri"/>
          <w:sz w:val="22"/>
          <w:szCs w:val="22"/>
        </w:rPr>
        <w:t>lamblia</w:t>
      </w:r>
      <w:proofErr w:type="spellEnd"/>
      <w:r w:rsidRPr="00023006">
        <w:rPr>
          <w:rFonts w:eastAsia="Calibri"/>
          <w:sz w:val="22"/>
          <w:szCs w:val="22"/>
        </w:rPr>
        <w:t xml:space="preserve">) </w:t>
      </w:r>
      <w:proofErr w:type="spellStart"/>
      <w:r w:rsidRPr="00023006">
        <w:rPr>
          <w:rFonts w:eastAsia="Calibri"/>
          <w:sz w:val="22"/>
          <w:szCs w:val="22"/>
        </w:rPr>
        <w:t>intestinalis</w:t>
      </w:r>
      <w:proofErr w:type="spellEnd"/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prenáša sa cystami prvoka a prejavuje sa tráviacimi ťažkosťami </w:t>
      </w:r>
    </w:p>
    <w:p w:rsidR="00023006" w:rsidRPr="00023006" w:rsidRDefault="00023006" w:rsidP="009926A7">
      <w:pPr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SHIGELÓZA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pôvodcom je baktéria Shigella dysenteriae, do úst sa dostane špinavými rukami 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color w:val="00B050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prejavuje sa horúčkou, nevoľnosťou, zvracaním, bolesťami brucha a vodnatými hnačkami, hrozí ťažká dehydratácia, najmä u najmenších detí </w:t>
      </w:r>
    </w:p>
    <w:p w:rsidR="00023006" w:rsidRPr="00023006" w:rsidRDefault="00023006" w:rsidP="00023006">
      <w:pPr>
        <w:jc w:val="both"/>
        <w:rPr>
          <w:rFonts w:eastAsia="Calibri"/>
          <w:b/>
          <w:color w:val="00B050"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SALMONELÓZA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najčastejším pôvodcom je baktéria Salmonela enteritidis, po skonzumovaní znečisteného piesku sa prejaví vodnatými hnačkami, bolesťami hlavy a vysokým teplotami, aj tu hrozí najmä u menších detí ťažká dehydratácia </w:t>
      </w:r>
    </w:p>
    <w:p w:rsidR="00023006" w:rsidRPr="00023006" w:rsidRDefault="00023006" w:rsidP="00023006">
      <w:pPr>
        <w:pStyle w:val="Odsekzoznamu"/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 xml:space="preserve">Mechanické riziká </w:t>
      </w: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>Deti sa na pieskovisku môžu aj porani</w:t>
      </w:r>
      <w:r w:rsidR="00E54A22">
        <w:rPr>
          <w:rFonts w:eastAsia="Calibri"/>
          <w:sz w:val="22"/>
          <w:szCs w:val="22"/>
        </w:rPr>
        <w:t xml:space="preserve">ť. </w:t>
      </w:r>
      <w:r w:rsidRPr="00023006">
        <w:rPr>
          <w:rFonts w:eastAsia="Calibri"/>
          <w:sz w:val="22"/>
          <w:szCs w:val="22"/>
        </w:rPr>
        <w:t xml:space="preserve">Napríklad injekčnými ihlami alebo kúskami skla, pričom hrozí možnosť nakazenia vírusovými hepatitídami typu B a C a HIV. </w:t>
      </w:r>
    </w:p>
    <w:p w:rsidR="00023006" w:rsidRPr="00023006" w:rsidRDefault="00023006" w:rsidP="00023006">
      <w:pPr>
        <w:jc w:val="both"/>
        <w:rPr>
          <w:rFonts w:eastAsia="Calibri"/>
          <w:sz w:val="22"/>
          <w:szCs w:val="22"/>
        </w:rPr>
      </w:pPr>
      <w:r w:rsidRPr="00E54A22">
        <w:rPr>
          <w:rFonts w:eastAsia="Calibri"/>
          <w:b/>
          <w:i/>
          <w:sz w:val="22"/>
          <w:szCs w:val="22"/>
        </w:rPr>
        <w:t>Vírus HIV je citlivý na vonkajšie prostredie, preto riziko prenosu ochorenia pri poranení injekčnou striekačkou nie je vysoké. Na rozdiel od vírusov hepatitídy B, ktoré sú 100-krát infekčnejšie a nakaziť sa nimi dá aj z niekoľko týždňov zaschnutej krvi. Najnebezpečnejší je vírus hepatitídy typu C, ktorý vyvoláva závažné ochorenie, často prechádza do chronického štádia a je nevyliečiteľné,“</w:t>
      </w:r>
      <w:r w:rsidRPr="00023006">
        <w:rPr>
          <w:rFonts w:eastAsia="Calibri"/>
          <w:sz w:val="22"/>
          <w:szCs w:val="22"/>
        </w:rPr>
        <w:t xml:space="preserve"> prízvukuje docentka Jana Hamade. </w:t>
      </w:r>
    </w:p>
    <w:p w:rsidR="00023006" w:rsidRPr="00023006" w:rsidRDefault="00023006" w:rsidP="00023006">
      <w:pPr>
        <w:jc w:val="both"/>
        <w:rPr>
          <w:rFonts w:eastAsia="Calibri"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color w:val="00B050"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Prevádzkovatelia pieskovísk sú povinní:</w:t>
      </w:r>
    </w:p>
    <w:p w:rsidR="00023006" w:rsidRPr="00023006" w:rsidRDefault="00023006" w:rsidP="00023006">
      <w:pPr>
        <w:pStyle w:val="Odsekzoznamu"/>
        <w:jc w:val="both"/>
        <w:rPr>
          <w:rFonts w:eastAsia="Calibri"/>
          <w:sz w:val="22"/>
          <w:szCs w:val="22"/>
        </w:rPr>
      </w:pP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>technickými opatreniami zabrániť vstupu zvierat do pieskovísk, prípadne zabezpečiť ich zakrývanie vhodnou fóliou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>zabezpečiť pravidelné čistenie a údržbu</w:t>
      </w: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</w:p>
    <w:p w:rsidR="00023006" w:rsidRPr="00023006" w:rsidRDefault="00023006" w:rsidP="00023006">
      <w:pPr>
        <w:jc w:val="both"/>
        <w:rPr>
          <w:rFonts w:eastAsia="Calibri"/>
          <w:b/>
          <w:sz w:val="22"/>
          <w:szCs w:val="22"/>
        </w:rPr>
      </w:pPr>
      <w:r w:rsidRPr="00023006">
        <w:rPr>
          <w:rFonts w:eastAsia="Calibri"/>
          <w:b/>
          <w:sz w:val="22"/>
          <w:szCs w:val="22"/>
        </w:rPr>
        <w:t>Rodičia by mali dbať:</w:t>
      </w:r>
    </w:p>
    <w:p w:rsidR="00023006" w:rsidRPr="00023006" w:rsidRDefault="00023006" w:rsidP="00023006">
      <w:pPr>
        <w:pStyle w:val="Odsekzoznamu"/>
        <w:jc w:val="both"/>
        <w:rPr>
          <w:rFonts w:eastAsia="Calibri"/>
          <w:sz w:val="22"/>
          <w:szCs w:val="22"/>
        </w:rPr>
      </w:pP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aby deti dodržiavali základné hygienické návyky a rešpektovať pokyny pediatra, pokiaľ ide o ich očkovanie 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>aby na hry detí v pieskoviskách dozerala dospelá osoba</w:t>
      </w:r>
    </w:p>
    <w:p w:rsidR="00023006" w:rsidRPr="00023006" w:rsidRDefault="00023006" w:rsidP="00023006">
      <w:pPr>
        <w:pStyle w:val="Odsekzoznamu"/>
        <w:numPr>
          <w:ilvl w:val="0"/>
          <w:numId w:val="5"/>
        </w:numPr>
        <w:jc w:val="both"/>
        <w:rPr>
          <w:rFonts w:eastAsia="Calibri"/>
          <w:sz w:val="22"/>
          <w:szCs w:val="22"/>
        </w:rPr>
      </w:pPr>
      <w:r w:rsidRPr="00023006">
        <w:rPr>
          <w:rFonts w:eastAsia="Calibri"/>
          <w:sz w:val="22"/>
          <w:szCs w:val="22"/>
        </w:rPr>
        <w:t xml:space="preserve">aby v prípade poranenia dieťaťa napríklad znečistenou injekčnou striekačkou ranu ošetrili, dezinfikovali a informovali pediatra, ktorý rozhodne o ďalšom postupe. Môže to byť očkovanie proti hepatitíde typu A a B, pravidelné sérologické vyšetrenia, resp. sledovanie zdravotného stavu dieťaťa počas šiestich mesiacov </w:t>
      </w:r>
    </w:p>
    <w:p w:rsidR="00023006" w:rsidRPr="00023006" w:rsidRDefault="00023006" w:rsidP="00023006">
      <w:pPr>
        <w:ind w:firstLine="426"/>
        <w:jc w:val="both"/>
        <w:rPr>
          <w:rFonts w:eastAsia="Calibri"/>
          <w:sz w:val="22"/>
          <w:szCs w:val="22"/>
        </w:rPr>
      </w:pPr>
    </w:p>
    <w:p w:rsidR="00023006" w:rsidRPr="00023006" w:rsidRDefault="00023006" w:rsidP="00023006">
      <w:pPr>
        <w:rPr>
          <w:b/>
          <w:sz w:val="22"/>
          <w:szCs w:val="22"/>
        </w:rPr>
      </w:pPr>
      <w:r w:rsidRPr="00023006">
        <w:rPr>
          <w:b/>
          <w:sz w:val="22"/>
          <w:szCs w:val="22"/>
        </w:rPr>
        <w:t>!</w:t>
      </w:r>
    </w:p>
    <w:p w:rsidR="00023006" w:rsidRPr="00023006" w:rsidRDefault="00023006" w:rsidP="00023006">
      <w:pPr>
        <w:jc w:val="both"/>
        <w:rPr>
          <w:sz w:val="22"/>
          <w:szCs w:val="22"/>
        </w:rPr>
      </w:pPr>
      <w:r w:rsidRPr="00023006">
        <w:rPr>
          <w:sz w:val="22"/>
          <w:szCs w:val="22"/>
        </w:rPr>
        <w:t>Kontrola technického stavu a bezpečnosti detských atrakcií na ihriskách je v ko</w:t>
      </w:r>
      <w:bookmarkStart w:id="0" w:name="_GoBack"/>
      <w:bookmarkEnd w:id="0"/>
      <w:r w:rsidRPr="00023006">
        <w:rPr>
          <w:sz w:val="22"/>
          <w:szCs w:val="22"/>
        </w:rPr>
        <w:t xml:space="preserve">mpetencii Slovenskej obchodnej inšpekcie. </w:t>
      </w:r>
    </w:p>
    <w:p w:rsidR="00023006" w:rsidRPr="00023006" w:rsidRDefault="00023006" w:rsidP="00023006">
      <w:pPr>
        <w:rPr>
          <w:sz w:val="22"/>
          <w:szCs w:val="22"/>
        </w:rPr>
      </w:pPr>
    </w:p>
    <w:p w:rsidR="00377159" w:rsidRPr="00023006" w:rsidRDefault="00023006">
      <w:pPr>
        <w:rPr>
          <w:sz w:val="22"/>
          <w:szCs w:val="22"/>
        </w:rPr>
      </w:pPr>
      <w:r w:rsidRPr="00023006">
        <w:rPr>
          <w:sz w:val="22"/>
          <w:szCs w:val="22"/>
        </w:rPr>
        <w:t>Odbor hygieny detí a mládeže a Referát komunikačný ÚVZ SR</w:t>
      </w:r>
    </w:p>
    <w:sectPr w:rsidR="00377159" w:rsidRPr="00023006" w:rsidSect="00377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0E89"/>
    <w:multiLevelType w:val="hybridMultilevel"/>
    <w:tmpl w:val="F11C5B4A"/>
    <w:lvl w:ilvl="0" w:tplc="2B26AE1C">
      <w:start w:val="8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FB680D"/>
    <w:multiLevelType w:val="hybridMultilevel"/>
    <w:tmpl w:val="5506604C"/>
    <w:lvl w:ilvl="0" w:tplc="FF74BB7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3B61"/>
    <w:multiLevelType w:val="hybridMultilevel"/>
    <w:tmpl w:val="CDD8550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A86EC1"/>
    <w:multiLevelType w:val="hybridMultilevel"/>
    <w:tmpl w:val="0A0CBCD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E33753"/>
    <w:multiLevelType w:val="hybridMultilevel"/>
    <w:tmpl w:val="D1BEEAA2"/>
    <w:lvl w:ilvl="0" w:tplc="7E2A8AD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21DEA"/>
    <w:rsid w:val="00023006"/>
    <w:rsid w:val="0010618F"/>
    <w:rsid w:val="0013681B"/>
    <w:rsid w:val="0015092C"/>
    <w:rsid w:val="00252923"/>
    <w:rsid w:val="002C7E99"/>
    <w:rsid w:val="00300760"/>
    <w:rsid w:val="00377159"/>
    <w:rsid w:val="003A45AE"/>
    <w:rsid w:val="00522520"/>
    <w:rsid w:val="0069261F"/>
    <w:rsid w:val="00711A4E"/>
    <w:rsid w:val="007137C9"/>
    <w:rsid w:val="00771B9B"/>
    <w:rsid w:val="007D27FA"/>
    <w:rsid w:val="00805426"/>
    <w:rsid w:val="0093288A"/>
    <w:rsid w:val="009926A7"/>
    <w:rsid w:val="00AB1F2E"/>
    <w:rsid w:val="00AD60B0"/>
    <w:rsid w:val="00B20CA4"/>
    <w:rsid w:val="00C3388E"/>
    <w:rsid w:val="00CA6861"/>
    <w:rsid w:val="00D21DEA"/>
    <w:rsid w:val="00DF0376"/>
    <w:rsid w:val="00E54A22"/>
    <w:rsid w:val="00F61A1A"/>
    <w:rsid w:val="00F973B8"/>
    <w:rsid w:val="00FE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1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D21DEA"/>
    <w:pPr>
      <w:keepNext/>
      <w:ind w:left="1416" w:hanging="1416"/>
      <w:outlineLvl w:val="1"/>
    </w:pPr>
    <w:rPr>
      <w:rFonts w:eastAsia="Arial Unicode MS"/>
      <w:b/>
      <w:bCs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D21DEA"/>
    <w:rPr>
      <w:rFonts w:ascii="Times New Roman" w:eastAsia="Arial Unicode MS" w:hAnsi="Times New Roman" w:cs="Times New Roman"/>
      <w:b/>
      <w:bCs/>
      <w:sz w:val="24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D21DEA"/>
    <w:pPr>
      <w:ind w:left="720"/>
      <w:contextualSpacing/>
    </w:pPr>
  </w:style>
  <w:style w:type="character" w:styleId="Hypertextovprepojenie">
    <w:name w:val="Hyperlink"/>
    <w:basedOn w:val="Predvolenpsmoodseku"/>
    <w:semiHidden/>
    <w:rsid w:val="00AB1F2E"/>
    <w:rPr>
      <w:color w:val="0000FF"/>
      <w:u w:val="single"/>
    </w:rPr>
  </w:style>
  <w:style w:type="character" w:customStyle="1" w:styleId="h1a4">
    <w:name w:val="h1a4"/>
    <w:basedOn w:val="Predvolenpsmoodseku"/>
    <w:rsid w:val="00AB1F2E"/>
    <w:rPr>
      <w:rFonts w:ascii="Trebuchet MS" w:hAnsi="Trebuchet MS" w:hint="default"/>
      <w:vanish w:val="0"/>
      <w:webHidden w:val="0"/>
      <w:color w:val="505050"/>
      <w:sz w:val="24"/>
      <w:szCs w:val="24"/>
      <w:specVanish w:val="0"/>
    </w:rPr>
  </w:style>
  <w:style w:type="character" w:styleId="Zvraznenie">
    <w:name w:val="Emphasis"/>
    <w:basedOn w:val="Predvolenpsmoodseku"/>
    <w:uiPriority w:val="20"/>
    <w:qFormat/>
    <w:rsid w:val="00300760"/>
    <w:rPr>
      <w:b/>
      <w:bCs/>
      <w:i w:val="0"/>
      <w:iCs w:val="0"/>
    </w:rPr>
  </w:style>
  <w:style w:type="paragraph" w:styleId="Normlnywebov">
    <w:name w:val="Normal (Web)"/>
    <w:basedOn w:val="Normlny"/>
    <w:uiPriority w:val="99"/>
    <w:semiHidden/>
    <w:unhideWhenUsed/>
    <w:rsid w:val="00300760"/>
    <w:pPr>
      <w:spacing w:before="100" w:beforeAutospacing="1" w:after="100" w:afterAutospacing="1"/>
    </w:pPr>
  </w:style>
  <w:style w:type="paragraph" w:styleId="Zkladntext2">
    <w:name w:val="Body Text 2"/>
    <w:basedOn w:val="Normlny"/>
    <w:link w:val="Zkladntext2Char"/>
    <w:uiPriority w:val="99"/>
    <w:semiHidden/>
    <w:unhideWhenUsed/>
    <w:rsid w:val="00300760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00760"/>
  </w:style>
  <w:style w:type="paragraph" w:styleId="Obyajntext">
    <w:name w:val="Plain Text"/>
    <w:basedOn w:val="Normlny"/>
    <w:link w:val="ObyajntextChar"/>
    <w:uiPriority w:val="99"/>
    <w:semiHidden/>
    <w:unhideWhenUsed/>
    <w:rsid w:val="0030076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300760"/>
    <w:rPr>
      <w:rFonts w:ascii="Calibri" w:hAnsi="Calibri"/>
      <w:szCs w:val="21"/>
    </w:rPr>
  </w:style>
  <w:style w:type="character" w:customStyle="1" w:styleId="A7">
    <w:name w:val="A7"/>
    <w:uiPriority w:val="99"/>
    <w:rsid w:val="00300760"/>
    <w:rPr>
      <w:rFonts w:ascii="Calibri" w:hAnsi="Calibri" w:cs="Calibri" w:hint="default"/>
      <w:color w:val="000000"/>
      <w:sz w:val="22"/>
      <w:szCs w:val="22"/>
    </w:rPr>
  </w:style>
  <w:style w:type="character" w:customStyle="1" w:styleId="st1">
    <w:name w:val="st1"/>
    <w:basedOn w:val="Predvolenpsmoodseku"/>
    <w:rsid w:val="003007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harisova</dc:creator>
  <cp:lastModifiedBy>Dasa Rackova</cp:lastModifiedBy>
  <cp:revision>5</cp:revision>
  <cp:lastPrinted>2019-06-14T06:12:00Z</cp:lastPrinted>
  <dcterms:created xsi:type="dcterms:W3CDTF">2019-06-14T05:21:00Z</dcterms:created>
  <dcterms:modified xsi:type="dcterms:W3CDTF">2019-06-14T06:36:00Z</dcterms:modified>
</cp:coreProperties>
</file>